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1" w:rsidRDefault="00FF70D9">
      <w:r>
        <w:t>Test 1 SHORT ANSWER QUESTIONS – THE ANSWERS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all individuals of interest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individuals actually studied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only a sample 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might be a bad sample 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people might not forget or lie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can’t tell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most likely not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500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1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total area 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experiment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model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guess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toss it many times 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unpredictable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predictable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remarkable ones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 idea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10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5" o:title=""/>
          </v:shape>
          <o:OLEObject Type="Embed" ProgID="Equation.3" ShapeID="_x0000_i1025" DrawAspect="Content" ObjectID="_1548092392" r:id="rId6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how the data is spread </w:t>
      </w:r>
      <w:proofErr w:type="gramStart"/>
      <w:r>
        <w:t>out</w:t>
      </w:r>
      <w:proofErr w:type="gramEnd"/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the middle of the data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6"/>
        </w:rPr>
        <w:object w:dxaOrig="340" w:dyaOrig="320">
          <v:shape id="_x0000_i1026" type="#_x0000_t75" style="width:17.25pt;height:16.5pt" o:ole="">
            <v:imagedata r:id="rId7" o:title=""/>
          </v:shape>
          <o:OLEObject Type="Embed" ProgID="Equation.3" ShapeID="_x0000_i1026" DrawAspect="Content" ObjectID="_1548092393" r:id="rId8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6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548092394" r:id="rId10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1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0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1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28"/>
        </w:rPr>
        <w:object w:dxaOrig="1359" w:dyaOrig="740">
          <v:shape id="_x0000_i1028" type="#_x0000_t75" style="width:74.25pt;height:39.75pt" o:ole="">
            <v:imagedata r:id="rId11" o:title=""/>
          </v:shape>
          <o:OLEObject Type="Embed" ProgID="Equation.3" ShapeID="_x0000_i1028" DrawAspect="Content" ObjectID="_1548092395" r:id="rId12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horizontal distance from the top to where the slope is getting less steep instead of steeper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about 68%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about 95%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about 99.7%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can’t say anything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at least 75%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at least 88.8%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number that describes the population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number that describes a sample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statistic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6"/>
        </w:rPr>
        <w:object w:dxaOrig="200" w:dyaOrig="440">
          <v:shape id="_x0000_i1029" type="#_x0000_t75" style="width:9.75pt;height:21.75pt" o:ole="">
            <v:imagedata r:id="rId13" o:title=""/>
          </v:shape>
          <o:OLEObject Type="Embed" ProgID="Equation.3" ShapeID="_x0000_i1029" DrawAspect="Content" ObjectID="_1548092396" r:id="rId14"/>
        </w:object>
      </w:r>
    </w:p>
    <w:p w:rsidR="00FF70D9" w:rsidRPr="0034071E" w:rsidRDefault="00FF70D9" w:rsidP="00FF70D9">
      <w:pPr>
        <w:numPr>
          <w:ilvl w:val="0"/>
          <w:numId w:val="1"/>
        </w:numPr>
        <w:spacing w:after="0" w:line="240" w:lineRule="auto"/>
      </w:pPr>
      <w:r>
        <w:rPr>
          <w:i/>
        </w:rPr>
        <w:t>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6"/>
        </w:rPr>
        <w:object w:dxaOrig="279" w:dyaOrig="320">
          <v:shape id="_x0000_i1030" type="#_x0000_t75" style="width:13.5pt;height:16.5pt" o:ole="">
            <v:imagedata r:id="rId15" o:title=""/>
          </v:shape>
          <o:OLEObject Type="Embed" ProgID="Equation.3" ShapeID="_x0000_i1030" DrawAspect="Content" ObjectID="_1548092397" r:id="rId16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6"/>
        </w:rPr>
        <w:object w:dxaOrig="200" w:dyaOrig="440">
          <v:shape id="_x0000_i1031" type="#_x0000_t75" style="width:9.75pt;height:21.75pt" o:ole="">
            <v:imagedata r:id="rId17" o:title=""/>
          </v:shape>
          <o:OLEObject Type="Embed" ProgID="Equation.3" ShapeID="_x0000_i1031" DrawAspect="Content" ObjectID="_1548092398" r:id="rId18"/>
        </w:object>
      </w:r>
    </w:p>
    <w:p w:rsidR="00FF70D9" w:rsidRPr="00174830" w:rsidRDefault="00FF70D9" w:rsidP="00FF70D9">
      <w:pPr>
        <w:numPr>
          <w:ilvl w:val="0"/>
          <w:numId w:val="1"/>
        </w:numPr>
        <w:spacing w:after="0" w:line="240" w:lineRule="auto"/>
      </w:pPr>
      <w:r>
        <w:rPr>
          <w:i/>
        </w:rPr>
        <w:t>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large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large sample size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luck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luck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large sample size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10"/>
        </w:rPr>
        <w:object w:dxaOrig="240" w:dyaOrig="260">
          <v:shape id="_x0000_i1032" type="#_x0000_t75" style="width:12pt;height:13.5pt" o:ole="">
            <v:imagedata r:id="rId19" o:title=""/>
          </v:shape>
          <o:OLEObject Type="Embed" ProgID="Equation.3" ShapeID="_x0000_i1032" DrawAspect="Content" ObjectID="_1548092399" r:id="rId20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28"/>
        </w:rPr>
        <w:object w:dxaOrig="420" w:dyaOrig="660">
          <v:shape id="_x0000_i1033" type="#_x0000_t75" style="width:21pt;height:33pt" o:ole="">
            <v:imagedata r:id="rId21" o:title=""/>
          </v:shape>
          <o:OLEObject Type="Embed" ProgID="Equation.3" ShapeID="_x0000_i1033" DrawAspect="Content" ObjectID="_1548092400" r:id="rId22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normal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gets closer to normal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Central Limit Theorem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standard deviation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smaller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highs and lows tend to cancel out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BCA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2D05D7">
        <w:rPr>
          <w:position w:val="-6"/>
        </w:rPr>
        <w:object w:dxaOrig="180" w:dyaOrig="220">
          <v:shape id="_x0000_i1034" type="#_x0000_t75" style="width:9pt;height:11.25pt" o:ole="">
            <v:imagedata r:id="rId23" o:title=""/>
          </v:shape>
          <o:OLEObject Type="Embed" ProgID="Equation.3" ShapeID="_x0000_i1034" DrawAspect="Content" ObjectID="_1548092401" r:id="rId24"/>
        </w:object>
      </w:r>
      <w:r>
        <w:t xml:space="preserve"> and </w:t>
      </w:r>
      <w:r w:rsidRPr="002D05D7">
        <w:rPr>
          <w:position w:val="-6"/>
        </w:rPr>
        <w:object w:dxaOrig="240" w:dyaOrig="220">
          <v:shape id="_x0000_i1035" type="#_x0000_t75" style="width:12pt;height:11.25pt" o:ole="">
            <v:imagedata r:id="rId25" o:title=""/>
          </v:shape>
          <o:OLEObject Type="Embed" ProgID="Equation.3" ShapeID="_x0000_i1035" DrawAspect="Content" ObjectID="_1548092402" r:id="rId26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smaller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how many standard deviations from the </w:t>
      </w:r>
      <w:proofErr w:type="gramStart"/>
      <w:r>
        <w:t>mean</w:t>
      </w:r>
      <w:proofErr w:type="gramEnd"/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anecdotes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all the data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looking at all the data about child and leukemia and power lines instead of news interview of one mother with child with leukemia that happens to live near a power a line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a variable that affects the variables you are interested in but is not mentioned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child in soccer have higher school scores, but a LV is how much the parents want their kids to succeed, if they want their kids to succeed a lot then they will be more likely to put them in soccer and also do things such as to encourage them to study 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the under 25 has a lot more drivers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we don’t know how the data was obtained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the </w:t>
      </w:r>
      <w:r>
        <w:rPr>
          <w:i/>
        </w:rPr>
        <w:t>y</w:t>
      </w:r>
      <w:r>
        <w:t>-axis does not start at 0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to understand the data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no, definition of child abuse could be different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mostly the best students in </w:t>
      </w:r>
      <w:smartTag w:uri="urn:schemas-microsoft-com:office:smarttags" w:element="State">
        <w:smartTag w:uri="urn:schemas-microsoft-com:office:smarttags" w:element="place">
          <w:r>
            <w:t>North Dakota</w:t>
          </w:r>
        </w:smartTag>
      </w:smartTag>
      <w:r>
        <w:t xml:space="preserve"> take the SAT while in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 a much higher percent take the SAT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there are many more drivers not drinking so they could easily have more accidents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Buchanan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up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down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up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small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40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 w:rsidRPr="00B86C1E">
        <w:rPr>
          <w:position w:val="-28"/>
        </w:rPr>
        <w:object w:dxaOrig="520" w:dyaOrig="660">
          <v:shape id="_x0000_i1036" type="#_x0000_t75" style="width:26.25pt;height:33pt" o:ole="">
            <v:imagedata r:id="rId27" o:title=""/>
          </v:shape>
          <o:OLEObject Type="Embed" ProgID="Equation.3" ShapeID="_x0000_i1036" DrawAspect="Content" ObjectID="_1548092403" r:id="rId28"/>
        </w:objec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 xml:space="preserve"> normal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yes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yes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yes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F70D9" w:rsidRDefault="00FF70D9" w:rsidP="00FF70D9">
      <w:pPr>
        <w:numPr>
          <w:ilvl w:val="0"/>
          <w:numId w:val="1"/>
        </w:numPr>
        <w:spacing w:after="0" w:line="240" w:lineRule="auto"/>
      </w:pPr>
      <w:r>
        <w:t>no</w:t>
      </w:r>
    </w:p>
    <w:p w:rsidR="00FA7864" w:rsidRDefault="00FA7864" w:rsidP="00FA7864">
      <w:pPr>
        <w:numPr>
          <w:ilvl w:val="0"/>
          <w:numId w:val="1"/>
        </w:numPr>
        <w:spacing w:after="0" w:line="240" w:lineRule="auto"/>
      </w:pPr>
      <w:r>
        <w:t>assume the data are the midpoints of the ranges given</w:t>
      </w:r>
    </w:p>
    <w:p w:rsidR="00FA7864" w:rsidRDefault="00FA7864" w:rsidP="00FA7864">
      <w:pPr>
        <w:spacing w:after="0" w:line="240" w:lineRule="auto"/>
        <w:ind w:left="720"/>
      </w:pPr>
      <w:bookmarkStart w:id="0" w:name="_GoBack"/>
      <w:bookmarkEnd w:id="0"/>
    </w:p>
    <w:p w:rsidR="00FF70D9" w:rsidRDefault="00FF70D9"/>
    <w:sectPr w:rsidR="00F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0C"/>
    <w:multiLevelType w:val="hybridMultilevel"/>
    <w:tmpl w:val="BDD2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205A1"/>
    <w:multiLevelType w:val="hybridMultilevel"/>
    <w:tmpl w:val="59C4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2616A"/>
    <w:multiLevelType w:val="hybridMultilevel"/>
    <w:tmpl w:val="44524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9"/>
    <w:rsid w:val="00E17E71"/>
    <w:rsid w:val="00FA7864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38"/>
    <o:shapelayout v:ext="edit">
      <o:idmap v:ext="edit" data="1"/>
    </o:shapelayout>
  </w:shapeDefaults>
  <w:decimalSymbol w:val="."/>
  <w:listSeparator w:val=","/>
  <w14:docId w14:val="74EB58E3"/>
  <w15:chartTrackingRefBased/>
  <w15:docId w15:val="{8E146048-53EE-4941-B73E-EA0E862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2017-02-09T03:51:00Z</dcterms:created>
  <dcterms:modified xsi:type="dcterms:W3CDTF">2017-02-09T03:51:00Z</dcterms:modified>
</cp:coreProperties>
</file>